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A1" w:rsidRPr="00111DC8" w:rsidRDefault="00744AA1" w:rsidP="00DA57C3">
      <w:pPr>
        <w:pStyle w:val="KeinLeerraum"/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 w:rsidRPr="00111DC8">
        <w:rPr>
          <w:rFonts w:ascii="Segoe Print" w:hAnsi="Segoe Print"/>
          <w:b/>
          <w:color w:val="538135" w:themeColor="accent6" w:themeShade="BF"/>
          <w:sz w:val="24"/>
          <w:szCs w:val="24"/>
        </w:rPr>
        <w:t>Was bedeutet NMS?</w:t>
      </w:r>
      <w:bookmarkStart w:id="0" w:name="_GoBack"/>
      <w:bookmarkEnd w:id="0"/>
    </w:p>
    <w:p w:rsidR="00744AA1" w:rsidRPr="00111DC8" w:rsidRDefault="0001615C" w:rsidP="0001615C">
      <w:pPr>
        <w:pStyle w:val="KeinLeerraum"/>
        <w:numPr>
          <w:ilvl w:val="0"/>
          <w:numId w:val="7"/>
        </w:numPr>
        <w:rPr>
          <w:rFonts w:ascii="Calibri" w:eastAsia="Times New Roman" w:hAnsi="Calibri" w:cs="Calibri"/>
          <w:color w:val="7030A0"/>
          <w:lang w:eastAsia="de-AT"/>
        </w:rPr>
      </w:pPr>
      <w:proofErr w:type="spellStart"/>
      <w:r w:rsidRPr="00111DC8">
        <w:rPr>
          <w:rFonts w:ascii="Calibri" w:eastAsia="+mn-ea" w:hAnsi="Calibri" w:cs="Calibri"/>
          <w:color w:val="7030A0"/>
          <w:lang w:val="de-DE" w:eastAsia="de-AT"/>
        </w:rPr>
        <w:t>Teamteaching</w:t>
      </w:r>
      <w:proofErr w:type="spellEnd"/>
      <w:r w:rsidRPr="00111DC8">
        <w:rPr>
          <w:rFonts w:ascii="Calibri" w:eastAsia="+mn-ea" w:hAnsi="Calibri" w:cs="Calibri"/>
          <w:color w:val="7030A0"/>
          <w:lang w:val="de-DE" w:eastAsia="de-AT"/>
        </w:rPr>
        <w:t xml:space="preserve">: </w:t>
      </w:r>
      <w:r w:rsidRPr="00111DC8">
        <w:rPr>
          <w:rFonts w:ascii="Calibri" w:eastAsia="+mn-ea" w:hAnsi="Calibri" w:cs="Calibri"/>
          <w:b/>
          <w:color w:val="7030A0"/>
          <w:lang w:val="de-DE" w:eastAsia="de-AT"/>
        </w:rPr>
        <w:t xml:space="preserve"> </w:t>
      </w:r>
      <w:r w:rsidR="00744AA1" w:rsidRPr="00111DC8">
        <w:rPr>
          <w:rFonts w:ascii="Calibri" w:eastAsia="+mn-ea" w:hAnsi="Calibri" w:cs="Calibri"/>
          <w:b/>
          <w:color w:val="7030A0"/>
          <w:lang w:val="de-DE" w:eastAsia="de-AT"/>
        </w:rPr>
        <w:t>Gemeinsamer Unterricht</w:t>
      </w:r>
      <w:r w:rsidR="00744AA1" w:rsidRPr="00111DC8">
        <w:rPr>
          <w:rFonts w:ascii="Calibri" w:eastAsia="+mn-ea" w:hAnsi="Calibri" w:cs="Calibri"/>
          <w:color w:val="7030A0"/>
          <w:lang w:val="de-DE" w:eastAsia="de-AT"/>
        </w:rPr>
        <w:t xml:space="preserve"> der </w:t>
      </w:r>
      <w:proofErr w:type="spellStart"/>
      <w:r w:rsidR="00744AA1" w:rsidRPr="00111DC8">
        <w:rPr>
          <w:rFonts w:ascii="Calibri" w:eastAsia="+mn-ea" w:hAnsi="Calibri" w:cs="Calibri"/>
          <w:color w:val="7030A0"/>
          <w:lang w:val="de-DE" w:eastAsia="de-AT"/>
        </w:rPr>
        <w:t>SchülerInnen</w:t>
      </w:r>
      <w:proofErr w:type="spellEnd"/>
      <w:r w:rsidR="00744AA1" w:rsidRPr="00111DC8">
        <w:rPr>
          <w:rFonts w:ascii="Calibri" w:eastAsia="+mn-ea" w:hAnsi="Calibri" w:cs="Calibri"/>
          <w:color w:val="7030A0"/>
          <w:lang w:val="de-DE" w:eastAsia="de-AT"/>
        </w:rPr>
        <w:t xml:space="preserve"> nach dem Lehrplan der Unterstufe der AHS in den Gegenständen E,D,M</w:t>
      </w:r>
    </w:p>
    <w:p w:rsidR="00744AA1" w:rsidRPr="00111DC8" w:rsidRDefault="00744AA1" w:rsidP="00CD6054">
      <w:pPr>
        <w:pStyle w:val="KeinLeerraum"/>
        <w:numPr>
          <w:ilvl w:val="0"/>
          <w:numId w:val="7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b/>
          <w:color w:val="7030A0"/>
          <w:lang w:val="de-DE" w:eastAsia="de-AT"/>
        </w:rPr>
        <w:t>Innere Differenzierung</w:t>
      </w:r>
      <w:r w:rsidRPr="00111DC8">
        <w:rPr>
          <w:rFonts w:ascii="Calibri" w:eastAsia="+mn-ea" w:hAnsi="Calibri" w:cs="Calibri"/>
          <w:color w:val="7030A0"/>
          <w:lang w:val="de-DE" w:eastAsia="de-AT"/>
        </w:rPr>
        <w:t xml:space="preserve"> – Förderung des selbstständigen Lernens – Methodenvielfalt</w:t>
      </w:r>
    </w:p>
    <w:p w:rsidR="00744AA1" w:rsidRPr="00111DC8" w:rsidRDefault="00744AA1" w:rsidP="00CD6054">
      <w:pPr>
        <w:pStyle w:val="KeinLeerraum"/>
        <w:numPr>
          <w:ilvl w:val="0"/>
          <w:numId w:val="7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b/>
          <w:color w:val="7030A0"/>
          <w:lang w:val="de-DE" w:eastAsia="de-AT"/>
        </w:rPr>
        <w:t>Kompetenzorientierung</w:t>
      </w:r>
      <w:r w:rsidRPr="00111DC8">
        <w:rPr>
          <w:rFonts w:ascii="Calibri" w:eastAsia="+mn-ea" w:hAnsi="Calibri" w:cs="Calibri"/>
          <w:color w:val="7030A0"/>
          <w:lang w:val="de-DE" w:eastAsia="de-AT"/>
        </w:rPr>
        <w:t xml:space="preserve"> in E,D,M </w:t>
      </w:r>
    </w:p>
    <w:p w:rsidR="00744AA1" w:rsidRPr="00111DC8" w:rsidRDefault="00744AA1" w:rsidP="00DA57C3">
      <w:pPr>
        <w:pStyle w:val="KeinLeerraum"/>
        <w:numPr>
          <w:ilvl w:val="0"/>
          <w:numId w:val="7"/>
        </w:numPr>
        <w:rPr>
          <w:rFonts w:ascii="Calibri" w:eastAsia="+mn-ea" w:hAnsi="Calibri" w:cs="Calibri"/>
          <w:color w:val="7030A0"/>
          <w:lang w:val="de-DE" w:eastAsia="de-AT"/>
        </w:rPr>
      </w:pPr>
      <w:r w:rsidRPr="00111DC8">
        <w:rPr>
          <w:rFonts w:ascii="Calibri" w:eastAsia="+mn-ea" w:hAnsi="Calibri" w:cs="Calibri"/>
          <w:color w:val="7030A0"/>
          <w:lang w:val="de-DE" w:eastAsia="de-AT"/>
        </w:rPr>
        <w:t>Ab Schuljah</w:t>
      </w:r>
      <w:r w:rsidR="0001615C" w:rsidRPr="00111DC8">
        <w:rPr>
          <w:rFonts w:ascii="Calibri" w:eastAsia="+mn-ea" w:hAnsi="Calibri" w:cs="Calibri"/>
          <w:color w:val="7030A0"/>
          <w:lang w:val="de-DE" w:eastAsia="de-AT"/>
        </w:rPr>
        <w:t>r 2020/21:</w:t>
      </w:r>
      <w:r w:rsidRPr="00111DC8">
        <w:rPr>
          <w:rFonts w:ascii="Calibri" w:eastAsia="+mn-ea" w:hAnsi="Calibri" w:cs="Calibri"/>
          <w:color w:val="7030A0"/>
          <w:lang w:val="de-DE" w:eastAsia="de-AT"/>
        </w:rPr>
        <w:t xml:space="preserve"> Leistungsniveaus </w:t>
      </w:r>
      <w:r w:rsidRPr="00111DC8">
        <w:rPr>
          <w:rFonts w:ascii="Calibri" w:eastAsia="+mn-ea" w:hAnsi="Calibri" w:cs="Calibri"/>
          <w:b/>
          <w:color w:val="7030A0"/>
          <w:lang w:val="de-DE" w:eastAsia="de-AT"/>
        </w:rPr>
        <w:t>Standard und Standard AHS</w:t>
      </w:r>
      <w:r w:rsidRPr="00111DC8">
        <w:rPr>
          <w:rFonts w:ascii="Calibri" w:eastAsia="+mn-ea" w:hAnsi="Calibri" w:cs="Calibri"/>
          <w:color w:val="7030A0"/>
          <w:lang w:val="de-DE" w:eastAsia="de-AT"/>
        </w:rPr>
        <w:t xml:space="preserve"> ab der 6.Schulstufe</w:t>
      </w:r>
    </w:p>
    <w:p w:rsidR="00744AA1" w:rsidRPr="00111DC8" w:rsidRDefault="00744AA1" w:rsidP="00DA57C3">
      <w:pPr>
        <w:pStyle w:val="KeinLeerraum"/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 w:rsidRPr="00111DC8">
        <w:rPr>
          <w:rFonts w:ascii="Segoe Print" w:hAnsi="Segoe Print"/>
          <w:b/>
          <w:color w:val="538135" w:themeColor="accent6" w:themeShade="BF"/>
          <w:sz w:val="24"/>
          <w:szCs w:val="24"/>
        </w:rPr>
        <w:t>Standard und Standard AHS</w:t>
      </w:r>
    </w:p>
    <w:p w:rsidR="00744AA1" w:rsidRPr="00111DC8" w:rsidRDefault="00744AA1" w:rsidP="00CD6054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 xml:space="preserve">Die Schüler und Schülerinnen werden nach einem </w:t>
      </w:r>
      <w:r w:rsidRPr="00111DC8">
        <w:rPr>
          <w:rFonts w:ascii="Calibri" w:eastAsia="+mn-ea" w:hAnsi="Calibri" w:cs="Calibri"/>
          <w:b/>
          <w:color w:val="7030A0"/>
          <w:lang w:eastAsia="de-AT"/>
        </w:rPr>
        <w:t>Beobachtungszeitraum von 2 Wochen</w:t>
      </w:r>
      <w:r w:rsidRPr="00111DC8">
        <w:rPr>
          <w:rFonts w:ascii="Calibri" w:eastAsia="+mn-ea" w:hAnsi="Calibri" w:cs="Calibri"/>
          <w:color w:val="7030A0"/>
          <w:lang w:eastAsia="de-AT"/>
        </w:rPr>
        <w:t xml:space="preserve"> einem Leistungsniveau zugeordnet.</w:t>
      </w:r>
    </w:p>
    <w:p w:rsidR="00744AA1" w:rsidRPr="00111DC8" w:rsidRDefault="00744AA1" w:rsidP="00CD6054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>Das Leistungsniveau von Standard AHS entspricht den Anforderungen der Unterstufe der AHS.</w:t>
      </w:r>
    </w:p>
    <w:p w:rsidR="00744AA1" w:rsidRPr="00111DC8" w:rsidRDefault="00744AA1" w:rsidP="00CD6054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>Die Beurteilung erfolgt nach den Anforderungen des jeweiligen Leistungsniveaus,</w:t>
      </w:r>
      <w:r w:rsidR="00CD6054" w:rsidRPr="00111DC8">
        <w:rPr>
          <w:rFonts w:ascii="Calibri" w:eastAsia="+mn-ea" w:hAnsi="Calibri" w:cs="Calibri"/>
          <w:color w:val="7030A0"/>
          <w:lang w:eastAsia="de-AT"/>
        </w:rPr>
        <w:t xml:space="preserve"> in </w:t>
      </w:r>
      <w:r w:rsidR="00CD6054" w:rsidRPr="00111DC8">
        <w:rPr>
          <w:rFonts w:ascii="Calibri" w:eastAsia="+mn-ea" w:hAnsi="Calibri" w:cs="Calibri"/>
          <w:b/>
          <w:color w:val="7030A0"/>
          <w:lang w:eastAsia="de-AT"/>
        </w:rPr>
        <w:t>beiden Leistungsniveaus</w:t>
      </w:r>
      <w:r w:rsidR="00CD6054" w:rsidRPr="00111DC8">
        <w:rPr>
          <w:rFonts w:ascii="Calibri" w:eastAsia="+mn-ea" w:hAnsi="Calibri" w:cs="Calibri"/>
          <w:color w:val="7030A0"/>
          <w:lang w:eastAsia="de-AT"/>
        </w:rPr>
        <w:t xml:space="preserve"> gibt es</w:t>
      </w:r>
      <w:r w:rsidRPr="00111DC8">
        <w:rPr>
          <w:rFonts w:ascii="Calibri" w:eastAsia="+mn-ea" w:hAnsi="Calibri" w:cs="Calibri"/>
          <w:color w:val="7030A0"/>
          <w:lang w:eastAsia="de-AT"/>
        </w:rPr>
        <w:t xml:space="preserve"> </w:t>
      </w:r>
      <w:r w:rsidRPr="00111DC8">
        <w:rPr>
          <w:rFonts w:ascii="Calibri" w:eastAsia="+mn-ea" w:hAnsi="Calibri" w:cs="Calibri"/>
          <w:b/>
          <w:color w:val="7030A0"/>
          <w:lang w:eastAsia="de-AT"/>
        </w:rPr>
        <w:t>Noten von 1</w:t>
      </w:r>
      <w:r w:rsidR="00CD6054" w:rsidRPr="00111DC8">
        <w:rPr>
          <w:rFonts w:ascii="Calibri" w:eastAsia="+mn-ea" w:hAnsi="Calibri" w:cs="Calibri"/>
          <w:b/>
          <w:color w:val="7030A0"/>
          <w:lang w:eastAsia="de-AT"/>
        </w:rPr>
        <w:t xml:space="preserve"> bis 5</w:t>
      </w:r>
      <w:r w:rsidRPr="00111DC8">
        <w:rPr>
          <w:rFonts w:ascii="Calibri" w:eastAsia="+mn-ea" w:hAnsi="Calibri" w:cs="Calibri"/>
          <w:b/>
          <w:color w:val="7030A0"/>
          <w:lang w:eastAsia="de-AT"/>
        </w:rPr>
        <w:t>.</w:t>
      </w:r>
    </w:p>
    <w:p w:rsidR="00744AA1" w:rsidRPr="00111DC8" w:rsidRDefault="00744AA1" w:rsidP="00CD6054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>D</w:t>
      </w:r>
      <w:r w:rsidR="0001615C" w:rsidRPr="00111DC8">
        <w:rPr>
          <w:rFonts w:ascii="Calibri" w:eastAsia="+mn-ea" w:hAnsi="Calibri" w:cs="Calibri"/>
          <w:color w:val="7030A0"/>
          <w:lang w:eastAsia="de-AT"/>
        </w:rPr>
        <w:t xml:space="preserve">ie Schüler werden </w:t>
      </w:r>
      <w:r w:rsidR="0001615C" w:rsidRPr="00111DC8">
        <w:rPr>
          <w:rFonts w:ascii="Calibri" w:eastAsia="+mn-ea" w:hAnsi="Calibri" w:cs="Calibri"/>
          <w:b/>
          <w:color w:val="7030A0"/>
          <w:lang w:eastAsia="de-AT"/>
        </w:rPr>
        <w:t>zeitweise</w:t>
      </w:r>
      <w:r w:rsidR="0001615C" w:rsidRPr="00111DC8">
        <w:rPr>
          <w:rFonts w:ascii="Calibri" w:eastAsia="+mn-ea" w:hAnsi="Calibri" w:cs="Calibri"/>
          <w:color w:val="7030A0"/>
          <w:lang w:eastAsia="de-AT"/>
        </w:rPr>
        <w:t xml:space="preserve"> entsprechend ihren Leistungsniveaus in </w:t>
      </w:r>
      <w:r w:rsidR="0001615C" w:rsidRPr="00111DC8">
        <w:rPr>
          <w:rFonts w:ascii="Calibri" w:eastAsia="+mn-ea" w:hAnsi="Calibri" w:cs="Calibri"/>
          <w:b/>
          <w:color w:val="7030A0"/>
          <w:lang w:eastAsia="de-AT"/>
        </w:rPr>
        <w:t>getrennten Gruppen</w:t>
      </w:r>
      <w:r w:rsidR="0001615C" w:rsidRPr="00111DC8">
        <w:rPr>
          <w:rFonts w:ascii="Calibri" w:eastAsia="+mn-ea" w:hAnsi="Calibri" w:cs="Calibri"/>
          <w:color w:val="7030A0"/>
          <w:lang w:eastAsia="de-AT"/>
        </w:rPr>
        <w:t xml:space="preserve"> unterrichtet</w:t>
      </w:r>
      <w:r w:rsidR="006D1A98" w:rsidRPr="00111DC8">
        <w:rPr>
          <w:rFonts w:ascii="Calibri" w:eastAsia="+mn-ea" w:hAnsi="Calibri" w:cs="Calibri"/>
          <w:color w:val="7030A0"/>
          <w:lang w:eastAsia="de-AT"/>
        </w:rPr>
        <w:t>.</w:t>
      </w:r>
    </w:p>
    <w:p w:rsidR="00744AA1" w:rsidRPr="00111DC8" w:rsidRDefault="00744AA1" w:rsidP="00CD6054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 xml:space="preserve">Eine </w:t>
      </w:r>
      <w:r w:rsidRPr="00111DC8">
        <w:rPr>
          <w:rFonts w:ascii="Calibri" w:eastAsia="+mn-ea" w:hAnsi="Calibri" w:cs="Calibri"/>
          <w:b/>
          <w:color w:val="7030A0"/>
          <w:lang w:eastAsia="de-AT"/>
        </w:rPr>
        <w:t>Änderung der Zuordnung</w:t>
      </w:r>
      <w:r w:rsidRPr="00111DC8">
        <w:rPr>
          <w:rFonts w:ascii="Calibri" w:eastAsia="+mn-ea" w:hAnsi="Calibri" w:cs="Calibri"/>
          <w:color w:val="7030A0"/>
          <w:lang w:eastAsia="de-AT"/>
        </w:rPr>
        <w:t xml:space="preserve"> zu einem Leistungsniveau ist jederzeit möglich („</w:t>
      </w:r>
      <w:proofErr w:type="spellStart"/>
      <w:r w:rsidRPr="00111DC8">
        <w:rPr>
          <w:rFonts w:ascii="Calibri" w:eastAsia="+mn-ea" w:hAnsi="Calibri" w:cs="Calibri"/>
          <w:color w:val="7030A0"/>
          <w:lang w:eastAsia="de-AT"/>
        </w:rPr>
        <w:t>Umstufung</w:t>
      </w:r>
      <w:proofErr w:type="spellEnd"/>
      <w:r w:rsidRPr="00111DC8">
        <w:rPr>
          <w:rFonts w:ascii="Calibri" w:eastAsia="+mn-ea" w:hAnsi="Calibri" w:cs="Calibri"/>
          <w:color w:val="7030A0"/>
          <w:lang w:eastAsia="de-AT"/>
        </w:rPr>
        <w:t>“)</w:t>
      </w:r>
    </w:p>
    <w:p w:rsidR="00744AA1" w:rsidRPr="00111DC8" w:rsidRDefault="00744AA1" w:rsidP="00DA57C3">
      <w:pPr>
        <w:pStyle w:val="KeinLeerraum"/>
        <w:numPr>
          <w:ilvl w:val="0"/>
          <w:numId w:val="8"/>
        </w:numPr>
        <w:rPr>
          <w:rFonts w:ascii="Calibri" w:eastAsia="Times New Roman" w:hAnsi="Calibri" w:cs="Calibri"/>
          <w:color w:val="7030A0"/>
          <w:lang w:eastAsia="de-AT"/>
        </w:rPr>
      </w:pPr>
      <w:r w:rsidRPr="00111DC8">
        <w:rPr>
          <w:rFonts w:ascii="Calibri" w:eastAsia="+mn-ea" w:hAnsi="Calibri" w:cs="Calibri"/>
          <w:color w:val="7030A0"/>
          <w:lang w:eastAsia="de-AT"/>
        </w:rPr>
        <w:t xml:space="preserve">Der gemeinsame Unterricht </w:t>
      </w:r>
      <w:r w:rsidR="006D1A98" w:rsidRPr="00111DC8">
        <w:rPr>
          <w:rFonts w:ascii="Calibri" w:eastAsia="+mn-ea" w:hAnsi="Calibri" w:cs="Calibri"/>
          <w:color w:val="7030A0"/>
          <w:lang w:eastAsia="de-AT"/>
        </w:rPr>
        <w:t xml:space="preserve">in </w:t>
      </w:r>
      <w:r w:rsidRPr="00111DC8">
        <w:rPr>
          <w:rFonts w:ascii="Calibri" w:eastAsia="+mn-ea" w:hAnsi="Calibri" w:cs="Calibri"/>
          <w:color w:val="7030A0"/>
          <w:lang w:eastAsia="de-AT"/>
        </w:rPr>
        <w:t>der Klasse durch 2 Lehrer ist nach wie vor möglich.</w:t>
      </w:r>
    </w:p>
    <w:p w:rsidR="006D1A98" w:rsidRDefault="006D1A98" w:rsidP="00DA57C3">
      <w:pPr>
        <w:pStyle w:val="KeinLeerraum"/>
        <w:rPr>
          <w:rFonts w:ascii="Segoe Print" w:hAnsi="Segoe Print"/>
          <w:b/>
          <w:color w:val="FFC000" w:themeColor="accent4"/>
          <w:sz w:val="24"/>
          <w:szCs w:val="24"/>
        </w:rPr>
      </w:pPr>
    </w:p>
    <w:p w:rsidR="00744AA1" w:rsidRPr="00111DC8" w:rsidRDefault="00744AA1" w:rsidP="00DA57C3">
      <w:pPr>
        <w:pStyle w:val="KeinLeerraum"/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 w:rsidRPr="00111DC8">
        <w:rPr>
          <w:rFonts w:ascii="Segoe Print" w:hAnsi="Segoe Print"/>
          <w:b/>
          <w:color w:val="538135" w:themeColor="accent6" w:themeShade="BF"/>
          <w:sz w:val="24"/>
          <w:szCs w:val="24"/>
        </w:rPr>
        <w:t>Ziele und Schwerpunkte der NMS Oberneukirchen</w:t>
      </w:r>
    </w:p>
    <w:p w:rsidR="00744AA1" w:rsidRPr="00111DC8" w:rsidRDefault="00744AA1" w:rsidP="00CD6054">
      <w:pPr>
        <w:pStyle w:val="KeinLeerraum"/>
        <w:numPr>
          <w:ilvl w:val="0"/>
          <w:numId w:val="9"/>
        </w:numPr>
        <w:rPr>
          <w:color w:val="7030A0"/>
        </w:rPr>
      </w:pPr>
      <w:r w:rsidRPr="00111DC8">
        <w:rPr>
          <w:color w:val="7030A0"/>
        </w:rPr>
        <w:t xml:space="preserve">Vermittlung einer </w:t>
      </w:r>
      <w:r w:rsidRPr="00111DC8">
        <w:rPr>
          <w:b/>
          <w:color w:val="7030A0"/>
        </w:rPr>
        <w:t>umfassenden Allgemeinbildung</w:t>
      </w:r>
      <w:r w:rsidRPr="00111DC8">
        <w:rPr>
          <w:color w:val="7030A0"/>
        </w:rPr>
        <w:t xml:space="preserve"> als Grundlage für einen erfolgreichen Übertritt in eine höhere Schule oder in das Berufsleben</w:t>
      </w:r>
    </w:p>
    <w:p w:rsidR="00744AA1" w:rsidRPr="00111DC8" w:rsidRDefault="00744AA1" w:rsidP="00CD6054">
      <w:pPr>
        <w:pStyle w:val="KeinLeerraum"/>
        <w:numPr>
          <w:ilvl w:val="0"/>
          <w:numId w:val="9"/>
        </w:numPr>
        <w:rPr>
          <w:color w:val="7030A0"/>
        </w:rPr>
      </w:pPr>
      <w:r w:rsidRPr="00111DC8">
        <w:rPr>
          <w:b/>
          <w:color w:val="7030A0"/>
        </w:rPr>
        <w:t>Förderung von Begabungen</w:t>
      </w:r>
      <w:r w:rsidRPr="00111DC8">
        <w:rPr>
          <w:color w:val="7030A0"/>
        </w:rPr>
        <w:t xml:space="preserve"> und besonderen Fähigkeiten </w:t>
      </w:r>
    </w:p>
    <w:p w:rsidR="00CD6054" w:rsidRPr="00111DC8" w:rsidRDefault="00CD6054" w:rsidP="00CD6054">
      <w:pPr>
        <w:pStyle w:val="KeinLeerraum"/>
        <w:numPr>
          <w:ilvl w:val="0"/>
          <w:numId w:val="9"/>
        </w:numPr>
        <w:rPr>
          <w:color w:val="7030A0"/>
        </w:rPr>
      </w:pPr>
      <w:r w:rsidRPr="00111DC8">
        <w:rPr>
          <w:b/>
          <w:color w:val="7030A0"/>
        </w:rPr>
        <w:t>Digitalisierung</w:t>
      </w:r>
      <w:r w:rsidRPr="00111DC8">
        <w:rPr>
          <w:color w:val="7030A0"/>
        </w:rPr>
        <w:t xml:space="preserve"> – Erwerb des ECDL</w:t>
      </w:r>
    </w:p>
    <w:p w:rsidR="00744AA1" w:rsidRPr="00111DC8" w:rsidRDefault="00744AA1" w:rsidP="00CD6054">
      <w:pPr>
        <w:pStyle w:val="KeinLeerraum"/>
        <w:numPr>
          <w:ilvl w:val="0"/>
          <w:numId w:val="9"/>
        </w:numPr>
        <w:rPr>
          <w:color w:val="7030A0"/>
        </w:rPr>
      </w:pPr>
      <w:r w:rsidRPr="00111DC8">
        <w:rPr>
          <w:b/>
          <w:color w:val="7030A0"/>
        </w:rPr>
        <w:t>Soziales Lernen</w:t>
      </w:r>
      <w:r w:rsidRPr="00111DC8">
        <w:rPr>
          <w:color w:val="7030A0"/>
        </w:rPr>
        <w:t xml:space="preserve"> – Stärken der Sozialkompetenzen</w:t>
      </w:r>
    </w:p>
    <w:p w:rsidR="00744AA1" w:rsidRPr="00111DC8" w:rsidRDefault="00744AA1" w:rsidP="00CD6054">
      <w:pPr>
        <w:pStyle w:val="KeinLeerraum"/>
        <w:numPr>
          <w:ilvl w:val="0"/>
          <w:numId w:val="9"/>
        </w:numPr>
        <w:rPr>
          <w:b/>
          <w:color w:val="7030A0"/>
        </w:rPr>
      </w:pPr>
      <w:r w:rsidRPr="00111DC8">
        <w:rPr>
          <w:b/>
          <w:color w:val="7030A0"/>
        </w:rPr>
        <w:t>Selbstständiges und eigenverantwortliches Lernen und Arbeiten</w:t>
      </w:r>
    </w:p>
    <w:p w:rsidR="00744AA1" w:rsidRPr="00111DC8" w:rsidRDefault="00744AA1" w:rsidP="00CD6054">
      <w:pPr>
        <w:pStyle w:val="KeinLeerraum"/>
        <w:numPr>
          <w:ilvl w:val="0"/>
          <w:numId w:val="9"/>
        </w:numPr>
        <w:rPr>
          <w:rFonts w:eastAsia="Calibri"/>
          <w:color w:val="7030A0"/>
        </w:rPr>
      </w:pPr>
      <w:r w:rsidRPr="00111DC8">
        <w:rPr>
          <w:rFonts w:eastAsia="Calibri"/>
          <w:b/>
          <w:color w:val="7030A0"/>
        </w:rPr>
        <w:t>Integration:</w:t>
      </w:r>
      <w:r w:rsidRPr="00111DC8">
        <w:rPr>
          <w:rFonts w:eastAsia="Calibri"/>
          <w:color w:val="7030A0"/>
        </w:rPr>
        <w:t xml:space="preserve"> Kinder mit und ohne Beeinträchtigungen werden gemeinsam unterrichtet</w:t>
      </w:r>
    </w:p>
    <w:p w:rsidR="00744AA1" w:rsidRPr="00111DC8" w:rsidRDefault="00744AA1" w:rsidP="00DA57C3">
      <w:pPr>
        <w:pStyle w:val="KeinLeerraum"/>
        <w:numPr>
          <w:ilvl w:val="0"/>
          <w:numId w:val="9"/>
        </w:numPr>
        <w:rPr>
          <w:color w:val="7030A0"/>
        </w:rPr>
      </w:pPr>
      <w:r w:rsidRPr="00111DC8">
        <w:rPr>
          <w:b/>
          <w:color w:val="7030A0"/>
        </w:rPr>
        <w:t xml:space="preserve">Ganztägige Schulform (GTS) </w:t>
      </w:r>
      <w:r w:rsidR="00CD6054" w:rsidRPr="00111DC8">
        <w:rPr>
          <w:color w:val="7030A0"/>
        </w:rPr>
        <w:br/>
      </w:r>
      <w:r w:rsidRPr="00111DC8">
        <w:rPr>
          <w:color w:val="7030A0"/>
        </w:rPr>
        <w:t>Ganztägige Betreuung der Schüler/Innen von 8:00 bis 16:25</w:t>
      </w:r>
      <w:r w:rsidR="00CD6054" w:rsidRPr="00111DC8">
        <w:rPr>
          <w:color w:val="7030A0"/>
        </w:rPr>
        <w:br/>
      </w:r>
      <w:r w:rsidRPr="00111DC8">
        <w:rPr>
          <w:color w:val="7030A0"/>
        </w:rPr>
        <w:t>Lern- und Hausübungsbetreuung, Freizeitbetreuung in der Mittagspause und nach den Lerneinheiten</w:t>
      </w:r>
      <w:r w:rsidR="00CD6054" w:rsidRPr="00111DC8">
        <w:rPr>
          <w:color w:val="7030A0"/>
        </w:rPr>
        <w:br/>
      </w:r>
      <w:r w:rsidRPr="00111DC8">
        <w:rPr>
          <w:color w:val="7030A0"/>
        </w:rPr>
        <w:t>Gesunde Jause täglich (außer Freitag) um 15.30</w:t>
      </w:r>
      <w:r w:rsidR="00CD6054" w:rsidRPr="00111DC8">
        <w:rPr>
          <w:color w:val="7030A0"/>
        </w:rPr>
        <w:br/>
      </w:r>
      <w:r w:rsidRPr="00111DC8">
        <w:rPr>
          <w:color w:val="7030A0"/>
        </w:rPr>
        <w:t>Anmeldung tageweise möglich</w:t>
      </w:r>
    </w:p>
    <w:p w:rsidR="006D1A98" w:rsidRPr="00111DC8" w:rsidRDefault="006D1A98" w:rsidP="00DA57C3">
      <w:pPr>
        <w:pStyle w:val="KeinLeerraum"/>
        <w:rPr>
          <w:rFonts w:ascii="Segoe Print" w:hAnsi="Segoe Print"/>
          <w:b/>
          <w:color w:val="7030A0"/>
          <w:sz w:val="24"/>
          <w:szCs w:val="24"/>
        </w:rPr>
      </w:pPr>
    </w:p>
    <w:p w:rsidR="00744AA1" w:rsidRPr="00111DC8" w:rsidRDefault="00744AA1" w:rsidP="00DA57C3">
      <w:pPr>
        <w:pStyle w:val="KeinLeerraum"/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 w:rsidRPr="00111DC8">
        <w:rPr>
          <w:rFonts w:ascii="Segoe Print" w:hAnsi="Segoe Print"/>
          <w:b/>
          <w:color w:val="538135" w:themeColor="accent6" w:themeShade="BF"/>
          <w:sz w:val="24"/>
          <w:szCs w:val="24"/>
        </w:rPr>
        <w:t>Angebote der NMS Oberneukirchen:</w:t>
      </w:r>
    </w:p>
    <w:p w:rsidR="00744AA1" w:rsidRPr="00111DC8" w:rsidRDefault="00744AA1" w:rsidP="00CD6054">
      <w:pPr>
        <w:pStyle w:val="KeinLeerraum"/>
        <w:numPr>
          <w:ilvl w:val="0"/>
          <w:numId w:val="10"/>
        </w:numPr>
        <w:rPr>
          <w:color w:val="7030A0"/>
        </w:rPr>
      </w:pPr>
      <w:r w:rsidRPr="00111DC8">
        <w:rPr>
          <w:color w:val="7030A0"/>
        </w:rPr>
        <w:t>Mittagessen: Zertifikat „Gesunde Küche“</w:t>
      </w:r>
    </w:p>
    <w:p w:rsidR="00744AA1" w:rsidRPr="00111DC8" w:rsidRDefault="00744AA1" w:rsidP="00CD6054">
      <w:pPr>
        <w:pStyle w:val="KeinLeerraum"/>
        <w:numPr>
          <w:ilvl w:val="0"/>
          <w:numId w:val="10"/>
        </w:numPr>
        <w:rPr>
          <w:color w:val="7030A0"/>
        </w:rPr>
      </w:pPr>
      <w:r w:rsidRPr="00111DC8">
        <w:rPr>
          <w:color w:val="7030A0"/>
        </w:rPr>
        <w:t xml:space="preserve">Unverbindlichen Übungen: </w:t>
      </w:r>
      <w:r w:rsidR="00CD6054" w:rsidRPr="00111DC8">
        <w:rPr>
          <w:color w:val="7030A0"/>
        </w:rPr>
        <w:t xml:space="preserve">Chor, </w:t>
      </w:r>
      <w:r w:rsidRPr="00111DC8">
        <w:rPr>
          <w:color w:val="7030A0"/>
        </w:rPr>
        <w:t>Theater</w:t>
      </w:r>
      <w:r w:rsidR="00CD6054" w:rsidRPr="00111DC8">
        <w:rPr>
          <w:color w:val="7030A0"/>
        </w:rPr>
        <w:t>, Informatik, Schülerliga Volleyball, Fußball, Stocksport, Schach</w:t>
      </w:r>
    </w:p>
    <w:p w:rsidR="00744AA1" w:rsidRPr="00111DC8" w:rsidRDefault="00744AA1" w:rsidP="00DA57C3">
      <w:pPr>
        <w:pStyle w:val="KeinLeerraum"/>
        <w:numPr>
          <w:ilvl w:val="0"/>
          <w:numId w:val="10"/>
        </w:numPr>
        <w:rPr>
          <w:color w:val="7030A0"/>
        </w:rPr>
      </w:pPr>
      <w:r w:rsidRPr="00111DC8">
        <w:rPr>
          <w:b/>
          <w:color w:val="7030A0"/>
        </w:rPr>
        <w:t>Mehrtägige Schulveranstaltungen:</w:t>
      </w:r>
      <w:r w:rsidR="00CD6054" w:rsidRPr="00111DC8">
        <w:rPr>
          <w:b/>
          <w:color w:val="7030A0"/>
        </w:rPr>
        <w:br/>
      </w:r>
      <w:r w:rsidRPr="00111DC8">
        <w:rPr>
          <w:rFonts w:eastAsia="Calibri"/>
          <w:color w:val="7030A0"/>
        </w:rPr>
        <w:t xml:space="preserve">1. Klasse: Schwimmwoche </w:t>
      </w:r>
      <w:r w:rsidR="00CD6054" w:rsidRPr="00111DC8">
        <w:rPr>
          <w:color w:val="7030A0"/>
        </w:rPr>
        <w:br/>
      </w:r>
      <w:r w:rsidRPr="00111DC8">
        <w:rPr>
          <w:rFonts w:eastAsia="Calibri"/>
          <w:color w:val="7030A0"/>
        </w:rPr>
        <w:t xml:space="preserve">2. Klasse: Schikurs  </w:t>
      </w:r>
      <w:r w:rsidR="00CD6054" w:rsidRPr="00111DC8">
        <w:rPr>
          <w:color w:val="7030A0"/>
        </w:rPr>
        <w:br/>
      </w:r>
      <w:r w:rsidRPr="00111DC8">
        <w:rPr>
          <w:rFonts w:eastAsia="Calibri"/>
          <w:color w:val="7030A0"/>
        </w:rPr>
        <w:t>3. Klasse: Projektwoche, Sprachwoche mit Native Speakern</w:t>
      </w:r>
      <w:r w:rsidR="00CD6054" w:rsidRPr="00111DC8">
        <w:rPr>
          <w:color w:val="7030A0"/>
        </w:rPr>
        <w:br/>
      </w:r>
      <w:r w:rsidRPr="00111DC8">
        <w:rPr>
          <w:color w:val="7030A0"/>
        </w:rPr>
        <w:t xml:space="preserve">4. Klasse: Wienwoche </w:t>
      </w:r>
    </w:p>
    <w:p w:rsidR="00744AA1" w:rsidRPr="00111DC8" w:rsidRDefault="00744AA1" w:rsidP="00DA57C3">
      <w:pPr>
        <w:pStyle w:val="KeinLeerraum"/>
        <w:rPr>
          <w:color w:val="7030A0"/>
        </w:rPr>
      </w:pPr>
    </w:p>
    <w:p w:rsidR="00744AA1" w:rsidRPr="00111DC8" w:rsidRDefault="00744AA1" w:rsidP="00DA57C3">
      <w:pPr>
        <w:pStyle w:val="KeinLeerraum"/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 w:rsidRPr="00111DC8">
        <w:rPr>
          <w:rFonts w:ascii="Segoe Print" w:hAnsi="Segoe Print"/>
          <w:b/>
          <w:color w:val="538135" w:themeColor="accent6" w:themeShade="BF"/>
          <w:sz w:val="24"/>
          <w:szCs w:val="24"/>
        </w:rPr>
        <w:t>Aktivitäten während des Schuljahres:</w:t>
      </w:r>
    </w:p>
    <w:p w:rsidR="00744AA1" w:rsidRPr="00111DC8" w:rsidRDefault="00744AA1" w:rsidP="00CD6054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Methodentraining für das selbstständige und eigenverantwortliche Lernen und Arbeiten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 xml:space="preserve">Projekttage 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 xml:space="preserve">Workshop „Safer Internet“ 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Erste-Hilfe- Kurs für die vierten Klassen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Lesenacht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Theater- und Konzertfahrten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Englisches Theater: Theateraufführung in englischer Sprache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Schnuppertage in Betrieben und Schulen für die vierten Klassen</w:t>
      </w:r>
    </w:p>
    <w:p w:rsidR="00744AA1" w:rsidRPr="00111DC8" w:rsidRDefault="00744AA1" w:rsidP="0001615C">
      <w:pPr>
        <w:pStyle w:val="KeinLeerraum"/>
        <w:numPr>
          <w:ilvl w:val="0"/>
          <w:numId w:val="11"/>
        </w:numPr>
        <w:rPr>
          <w:rFonts w:eastAsia="Calibri"/>
          <w:color w:val="7030A0"/>
        </w:rPr>
      </w:pPr>
      <w:r w:rsidRPr="00111DC8">
        <w:rPr>
          <w:rFonts w:eastAsia="Calibri"/>
          <w:color w:val="7030A0"/>
        </w:rPr>
        <w:t>Teilnahme an sportlichen Wettkämpfen, z.B. Cross Country Lauf, Bezirksschitag, ….</w:t>
      </w:r>
    </w:p>
    <w:p w:rsidR="00744AA1" w:rsidRPr="00DA57C3" w:rsidRDefault="00744AA1" w:rsidP="00DA57C3">
      <w:pPr>
        <w:pStyle w:val="KeinLeerraum"/>
        <w:rPr>
          <w:color w:val="1F4E79" w:themeColor="accent1" w:themeShade="80"/>
        </w:rPr>
      </w:pPr>
    </w:p>
    <w:p w:rsidR="00744AA1" w:rsidRPr="00DA57C3" w:rsidRDefault="00744AA1" w:rsidP="00DA57C3">
      <w:pPr>
        <w:pStyle w:val="KeinLeerraum"/>
        <w:rPr>
          <w:rFonts w:ascii="Calibri" w:hAnsi="Calibri" w:cs="Calibri"/>
          <w:color w:val="1F4E79" w:themeColor="accent1" w:themeShade="80"/>
        </w:rPr>
      </w:pPr>
    </w:p>
    <w:sectPr w:rsidR="00744AA1" w:rsidRPr="00DA57C3" w:rsidSect="00111DC8">
      <w:headerReference w:type="default" r:id="rId7"/>
      <w:pgSz w:w="11906" w:h="16838"/>
      <w:pgMar w:top="720" w:right="720" w:bottom="720" w:left="720" w:header="737" w:footer="708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F4" w:rsidRDefault="000C6CF4">
      <w:pPr>
        <w:spacing w:after="0" w:line="240" w:lineRule="auto"/>
      </w:pPr>
      <w:r>
        <w:separator/>
      </w:r>
    </w:p>
  </w:endnote>
  <w:endnote w:type="continuationSeparator" w:id="0">
    <w:p w:rsidR="000C6CF4" w:rsidRDefault="000C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F4" w:rsidRDefault="000C6CF4">
      <w:pPr>
        <w:spacing w:after="0" w:line="240" w:lineRule="auto"/>
      </w:pPr>
      <w:r>
        <w:separator/>
      </w:r>
    </w:p>
  </w:footnote>
  <w:footnote w:type="continuationSeparator" w:id="0">
    <w:p w:rsidR="000C6CF4" w:rsidRDefault="000C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88" w:rsidRPr="00111DC8" w:rsidRDefault="006D1A98" w:rsidP="00F62DAC">
    <w:pPr>
      <w:pStyle w:val="Kopfzeile"/>
      <w:jc w:val="center"/>
      <w:rPr>
        <w:rFonts w:ascii="Segoe Print" w:hAnsi="Segoe Print"/>
        <w:b/>
        <w:color w:val="538135" w:themeColor="accent6" w:themeShade="BF"/>
        <w:sz w:val="36"/>
        <w:szCs w:val="36"/>
      </w:rPr>
    </w:pPr>
    <w:r w:rsidRPr="00111DC8">
      <w:rPr>
        <w:rFonts w:ascii="Segoe Print" w:hAnsi="Segoe Print"/>
        <w:b/>
        <w:color w:val="538135" w:themeColor="accent6" w:themeShade="BF"/>
        <w:sz w:val="36"/>
        <w:szCs w:val="36"/>
      </w:rPr>
      <w:t>NMS OBERNEUKIRCHEN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AA9"/>
    <w:multiLevelType w:val="hybridMultilevel"/>
    <w:tmpl w:val="0780FD48"/>
    <w:lvl w:ilvl="0" w:tplc="66A40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08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EF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3C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85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42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6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66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43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187"/>
    <w:multiLevelType w:val="hybridMultilevel"/>
    <w:tmpl w:val="54ACB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C23"/>
    <w:multiLevelType w:val="hybridMultilevel"/>
    <w:tmpl w:val="BCB84F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8FB"/>
    <w:multiLevelType w:val="hybridMultilevel"/>
    <w:tmpl w:val="4F921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789"/>
    <w:multiLevelType w:val="hybridMultilevel"/>
    <w:tmpl w:val="5E5A1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36C"/>
    <w:multiLevelType w:val="hybridMultilevel"/>
    <w:tmpl w:val="7EBA1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1623"/>
    <w:multiLevelType w:val="hybridMultilevel"/>
    <w:tmpl w:val="B01250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2D19"/>
    <w:multiLevelType w:val="hybridMultilevel"/>
    <w:tmpl w:val="B8508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33A"/>
    <w:multiLevelType w:val="hybridMultilevel"/>
    <w:tmpl w:val="CA3CD9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354C2"/>
    <w:multiLevelType w:val="hybridMultilevel"/>
    <w:tmpl w:val="40763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4173"/>
    <w:multiLevelType w:val="hybridMultilevel"/>
    <w:tmpl w:val="31F29602"/>
    <w:lvl w:ilvl="0" w:tplc="681C9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C2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5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A63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5D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AEB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8C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D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8B7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A1"/>
    <w:rsid w:val="0001615C"/>
    <w:rsid w:val="000C6CF4"/>
    <w:rsid w:val="00111DC8"/>
    <w:rsid w:val="003C662A"/>
    <w:rsid w:val="006D1A98"/>
    <w:rsid w:val="00744AA1"/>
    <w:rsid w:val="00CD6054"/>
    <w:rsid w:val="00D62518"/>
    <w:rsid w:val="00D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411A-686F-485A-8897-B96D29B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A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AA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4A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AA1"/>
  </w:style>
  <w:style w:type="paragraph" w:styleId="Fuzeile">
    <w:name w:val="footer"/>
    <w:basedOn w:val="Standard"/>
    <w:link w:val="FuzeileZchn"/>
    <w:uiPriority w:val="99"/>
    <w:unhideWhenUsed/>
    <w:rsid w:val="0011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D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cp:lastPrinted>2019-11-11T15:55:00Z</cp:lastPrinted>
  <dcterms:created xsi:type="dcterms:W3CDTF">2019-11-11T13:24:00Z</dcterms:created>
  <dcterms:modified xsi:type="dcterms:W3CDTF">2019-11-11T16:56:00Z</dcterms:modified>
</cp:coreProperties>
</file>